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70F5A">
      <w:pPr>
        <w:widowControl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  <w:lang w:val="en-US" w:eastAsia="zh-CN"/>
        </w:rPr>
        <w:t>关于举办安徽电子信息职业技术学院互联网+国际贸易比赛的通知</w:t>
      </w:r>
      <w:bookmarkStart w:id="0" w:name="_GoBack"/>
      <w:bookmarkEnd w:id="0"/>
    </w:p>
    <w:p w14:paraId="4D4BDB8C">
      <w:pPr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一、赛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  <w:lang w:val="en-US" w:eastAsia="zh-CN"/>
        </w:rPr>
        <w:t>项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名称</w:t>
      </w:r>
    </w:p>
    <w:p w14:paraId="165766E0">
      <w:pPr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  <w:t>项目名称：</w:t>
      </w: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lang w:val="en-US" w:eastAsia="zh-CN"/>
        </w:rPr>
        <w:t>互联网+国际贸易</w:t>
      </w:r>
    </w:p>
    <w:p w14:paraId="3E313B6E">
      <w:pPr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二、竞赛目的</w:t>
      </w:r>
    </w:p>
    <w:p w14:paraId="5B31A195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本赛项以国际贸易最新业态B2C发展为驱动，瞄准世界高水平的国际贸易行业技能，在检验教学成果的同时，搭建专业、课程、培养机制改革平台，促进专业建设、教学改革的深入进行，切实提高教学质量和人才培养水平，达到“以赛促学、以赛促教”的目的。</w:t>
      </w:r>
    </w:p>
    <w:p w14:paraId="3DD4A66E">
      <w:pPr>
        <w:widowControl/>
        <w:numPr>
          <w:ilvl w:val="0"/>
          <w:numId w:val="1"/>
        </w:numPr>
        <w:spacing w:line="360" w:lineRule="auto"/>
        <w:ind w:firstLine="600" w:firstLineChars="200"/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竞赛内容</w:t>
      </w:r>
    </w:p>
    <w:p w14:paraId="2FCB3F8A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竞赛平台：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南京世格跨境电沙盘B2C。</w:t>
      </w:r>
    </w:p>
    <w:p w14:paraId="7D98EA37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团队通过外贸B2C 数据运营推广公司和产品， 以努力提升公司的投资回报率（ROI）为 目标， 以回合制竞争博弈为形式，对国际市场环境数据和公司运营结果数据进行挖掘与分析，完成外销产品开发、国内采购、产品上下架、国际市场定价、引流、国际物流配送、国际支付、财务管理等各个运营环节的决策实施、并且在逐次展开的回合中不断优化本公司的数据运营战略与决策。考察选手外贸B2C 数据运营的需求意识、成本意识、风险意识、利润意识、竞争意识及数据挖掘分析能力和运营决策能力。</w:t>
      </w:r>
    </w:p>
    <w:p w14:paraId="5B7D6E13">
      <w:pPr>
        <w:widowControl/>
        <w:spacing w:line="520" w:lineRule="exact"/>
        <w:ind w:firstLine="562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五、竞赛方式</w:t>
      </w:r>
    </w:p>
    <w:p w14:paraId="77884215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本次比赛采用现场方式比赛。竞赛方式为上机竞赛，共计 6回合；每回合开始后，参赛队可根据当前市场快讯、汇率、税收政策、仓储物流及海外仓信息、外贸B2C 平台政策、竞品信 息等，结合企业运营产生的财务、订单、利润、库存等数据，进 行数据挖掘与分析，制定企业运营战略及决策，并在系统中实施；每回合每店铺发布新商品数量上限为 50 个，每回合每店铺在售商品数量上限为 100 个。每回合结束后，系统将根据当前所有参赛队所做的决策，结合当前市场环境进行运算，给出各参赛队运营结果与成绩。 参赛队可根据运营结果对运营战略及决策进行优化，并付诸实施， 直至比赛结束；参赛队如出现资金链断裂等情况，可导致经营的公司破产。参赛队在公司破产后可重新创建公司继续经营，直至比赛结束。</w:t>
      </w:r>
    </w:p>
    <w:p w14:paraId="412DC65F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六、竞赛流程</w:t>
      </w:r>
    </w:p>
    <w:p w14:paraId="5861FC5A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1.报名时间：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2025年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日-2025年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日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，以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为单位填写报名表，并于比赛报名截止日之前发送至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269837011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@qq.com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；</w:t>
      </w:r>
    </w:p>
    <w:p w14:paraId="263B64C4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2.比赛时间：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2025年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日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，现场决赛在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中320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和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中104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进行。</w:t>
      </w:r>
    </w:p>
    <w:p w14:paraId="23595651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七、竞赛赛题</w:t>
      </w:r>
    </w:p>
    <w:p w14:paraId="3E756F27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竞赛试题由竞赛组委会面向企业征题（竞赛指导教师不能参与竞赛试题的编制）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保证竞赛公平、公正。</w:t>
      </w:r>
    </w:p>
    <w:p w14:paraId="023CE06C">
      <w:pPr>
        <w:widowControl/>
        <w:spacing w:line="520" w:lineRule="exact"/>
        <w:ind w:firstLine="562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八、竞赛规则</w:t>
      </w:r>
    </w:p>
    <w:p w14:paraId="3E45C45D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同一教师指导的队伍总数不得超过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支。学生参与比赛可以无指导教师。</w:t>
      </w:r>
    </w:p>
    <w:p w14:paraId="68582A63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1）报名资格和要求</w:t>
      </w:r>
    </w:p>
    <w:p w14:paraId="070B5E70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参赛对象为安徽电子信息职业技术学院在籍学生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参赛各队队员必须由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名在校学生组成，每个参赛队指导教师不多于1名。</w:t>
      </w:r>
    </w:p>
    <w:p w14:paraId="78D976B9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（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）比赛期间</w:t>
      </w:r>
    </w:p>
    <w:p w14:paraId="74D38A79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竞赛时间为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小时，结束前15分钟有相应提示。竞赛结束时间到，关闭计算机停止答题。</w:t>
      </w:r>
    </w:p>
    <w:p w14:paraId="27B3023B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若参赛队员出现妨碍比赛正常进行的行为，诸如擅自移动赛场中的设备，未经授权修改比赛软硬件，干扰他人比赛等，取消其参赛资格。</w:t>
      </w:r>
    </w:p>
    <w:p w14:paraId="500C9AAE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（4）成绩公布</w:t>
      </w:r>
    </w:p>
    <w:p w14:paraId="059628C9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竞赛结束后，最后由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承办单位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进行公示，公示无异议报教学科研处，并再次在校园网进行公示，待公示期满后，发竞赛获奖证书。</w:t>
      </w:r>
    </w:p>
    <w:p w14:paraId="2060D79F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val="en-US" w:eastAsia="zh-CN"/>
        </w:rPr>
        <w:t>九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、成绩评定</w:t>
      </w:r>
    </w:p>
    <w:p w14:paraId="371D7EC7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评分标准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平台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系统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评分。</w:t>
      </w:r>
    </w:p>
    <w:p w14:paraId="75FB710D">
      <w:pPr>
        <w:widowControl/>
        <w:numPr>
          <w:ilvl w:val="0"/>
          <w:numId w:val="0"/>
        </w:numPr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评分方法</w:t>
      </w: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外贸B2C 模块成绩由参赛队在系统中运营的公司分数构成。 如果团队经营过多家公司（如破产后重建新公司），则取这些公司分数的最高值。具体计算方法如下：</w:t>
      </w:r>
    </w:p>
    <w:p w14:paraId="665761AF">
      <w:pPr>
        <w:widowControl/>
        <w:numPr>
          <w:ilvl w:val="0"/>
          <w:numId w:val="0"/>
        </w:numPr>
        <w:spacing w:line="520" w:lineRule="exact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 xml:space="preserve">    （1）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公司分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数</w:t>
      </w:r>
    </w:p>
    <w:p w14:paraId="4BD20857">
      <w:pPr>
        <w:widowControl/>
        <w:numPr>
          <w:ilvl w:val="0"/>
          <w:numId w:val="0"/>
        </w:numPr>
        <w:spacing w:line="520" w:lineRule="exact"/>
        <w:ind w:firstLine="300" w:firstLineChars="1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公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司分数受多种因素影响，这些因素包括“投资回报率分数 ” 和“破产影响系数 ”。</w:t>
      </w:r>
    </w:p>
    <w:p w14:paraId="14202EEF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（2）投资回报率分数</w:t>
      </w:r>
    </w:p>
    <w:p w14:paraId="300809EF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投资回报率分数受多种因素影响，这些因素包括“投资回报 率数值分数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eastAsia="zh-CN"/>
        </w:rPr>
        <w:t>”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和“投资回报率排名分数 ”。</w:t>
      </w:r>
    </w:p>
    <w:p w14:paraId="3AB43855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①投资回报率数值分数</w:t>
      </w:r>
    </w:p>
    <w:p w14:paraId="47D17BBA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投资回报率采用分档方式计算，根据投资回报率所处档次计</w:t>
      </w:r>
    </w:p>
    <w:p w14:paraId="74F8F80C">
      <w:pPr>
        <w:widowControl/>
        <w:spacing w:line="520" w:lineRule="exact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算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其对应分数。</w:t>
      </w:r>
    </w:p>
    <w:p w14:paraId="0A4CA912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②投资回报率排名分数</w:t>
      </w:r>
    </w:p>
    <w:p w14:paraId="063BCE99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将投资回报率按照从高到低的顺序进行排名（最高的排名为 1），不同排名对应不同的分数。</w:t>
      </w:r>
    </w:p>
    <w:p w14:paraId="62F8973C">
      <w:pPr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十、奖项设定</w:t>
      </w:r>
    </w:p>
    <w:p w14:paraId="01283CA0">
      <w:pPr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奖项设置以报名参加比赛各组别参赛队伍为基数，按参赛队成绩排序，奖项设置按《安徽电子信息职业技术学院职业技能竞赛管理办法》要求设置。</w:t>
      </w:r>
    </w:p>
    <w:p w14:paraId="4F6AFB35">
      <w:pPr>
        <w:widowControl/>
        <w:spacing w:line="520" w:lineRule="exact"/>
        <w:ind w:firstLine="562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十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0"/>
          <w:szCs w:val="30"/>
        </w:rPr>
        <w:t>、申诉与仲裁</w:t>
      </w:r>
    </w:p>
    <w:p w14:paraId="10DEFCA8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比赛过程中若出现有失公正或有关人员违规等现象，参赛选手可在竞赛结束2小时内向仲裁委员会提出书面申诉，申诉书应包括申诉原因、申诉诉求、申诉团队等内容，并由申诉团队相关参赛队员、指导教师签字。</w:t>
      </w:r>
    </w:p>
    <w:p w14:paraId="287AB65A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组委会委托裁判根据比赛规则，针对申诉内容，给出相应的裁决依据，仲裁请求和裁决依据2份材料一起提交仲裁委员会。仲裁委员会依据比赛规范、规则以及裁判给出的裁决依据对比赛结果进行仲裁。该仲裁结果为最终结果。</w:t>
      </w:r>
    </w:p>
    <w:p w14:paraId="3982473A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30"/>
          <w:szCs w:val="30"/>
        </w:rPr>
        <w:t>十四、其他</w:t>
      </w:r>
    </w:p>
    <w:p w14:paraId="4C05581F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其它未尽事项，另行通知。</w:t>
      </w:r>
    </w:p>
    <w:p w14:paraId="798F056A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竞赛联系人：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陈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</w:rPr>
        <w:t>老师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 xml:space="preserve"> 18855228786</w:t>
      </w:r>
    </w:p>
    <w:p w14:paraId="3D374B4E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联系人：曹老师  18205527601</w:t>
      </w:r>
    </w:p>
    <w:p w14:paraId="00E77AFB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联系人：董老师 19338030526</w:t>
      </w:r>
    </w:p>
    <w:p w14:paraId="4943185B">
      <w:pPr>
        <w:widowControl/>
        <w:spacing w:line="520" w:lineRule="exact"/>
        <w:ind w:firstLine="600" w:firstLineChars="200"/>
        <w:jc w:val="left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报名邮箱：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instrText xml:space="preserve"> HYPERLINK "mailto:269837011@qq.com，" </w:instrTex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t>269837011@qq.com</w:t>
      </w:r>
      <w:r>
        <w:rPr>
          <w:rFonts w:hint="eastAsia" w:ascii="微软雅黑" w:hAnsi="微软雅黑" w:eastAsia="微软雅黑" w:cs="微软雅黑"/>
          <w:color w:val="333333"/>
          <w:sz w:val="30"/>
          <w:szCs w:val="30"/>
          <w:lang w:val="en-US" w:eastAsia="zh-CN"/>
        </w:rPr>
        <w:fldChar w:fldCharType="end"/>
      </w:r>
    </w:p>
    <w:p w14:paraId="611755BC">
      <w:pPr>
        <w:widowControl/>
        <w:spacing w:line="360" w:lineRule="auto"/>
        <w:ind w:firstLine="600" w:firstLineChars="200"/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30"/>
          <w:szCs w:val="30"/>
          <w:lang w:val="en-US" w:eastAsia="zh-CN"/>
        </w:rPr>
        <w:t>比赛QQ群：8810392283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66892">
    <w:pPr>
      <w:pStyle w:val="2"/>
      <w:spacing w:before="1" w:line="177" w:lineRule="auto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C84FA"/>
    <w:multiLevelType w:val="singleLevel"/>
    <w:tmpl w:val="9ACC84F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DI3YTkwMDhmZmM3OGRjN2IwNGYxNjFjNjA3MTUifQ=="/>
  </w:docVars>
  <w:rsids>
    <w:rsidRoot w:val="00CE5A50"/>
    <w:rsid w:val="00102759"/>
    <w:rsid w:val="00136750"/>
    <w:rsid w:val="0015516F"/>
    <w:rsid w:val="001B6226"/>
    <w:rsid w:val="00356F37"/>
    <w:rsid w:val="003806EF"/>
    <w:rsid w:val="00390F7A"/>
    <w:rsid w:val="003D6BDA"/>
    <w:rsid w:val="003E5C64"/>
    <w:rsid w:val="00452DA9"/>
    <w:rsid w:val="00497130"/>
    <w:rsid w:val="00525E95"/>
    <w:rsid w:val="0057105A"/>
    <w:rsid w:val="00622A9C"/>
    <w:rsid w:val="00625C22"/>
    <w:rsid w:val="006F3F13"/>
    <w:rsid w:val="007930FF"/>
    <w:rsid w:val="007C3048"/>
    <w:rsid w:val="007D34CE"/>
    <w:rsid w:val="008636F5"/>
    <w:rsid w:val="0090624B"/>
    <w:rsid w:val="00975E69"/>
    <w:rsid w:val="00B012D5"/>
    <w:rsid w:val="00B06E72"/>
    <w:rsid w:val="00B218F2"/>
    <w:rsid w:val="00B4727E"/>
    <w:rsid w:val="00B54B6A"/>
    <w:rsid w:val="00B67908"/>
    <w:rsid w:val="00B83DD1"/>
    <w:rsid w:val="00CE5A50"/>
    <w:rsid w:val="00D11135"/>
    <w:rsid w:val="00DC618E"/>
    <w:rsid w:val="00E44FFF"/>
    <w:rsid w:val="0D0C53E6"/>
    <w:rsid w:val="0E2F378D"/>
    <w:rsid w:val="0EE239BB"/>
    <w:rsid w:val="10FE14EA"/>
    <w:rsid w:val="112847B9"/>
    <w:rsid w:val="1B312BDA"/>
    <w:rsid w:val="1D666D95"/>
    <w:rsid w:val="1F72266C"/>
    <w:rsid w:val="213845A4"/>
    <w:rsid w:val="253D487F"/>
    <w:rsid w:val="26976211"/>
    <w:rsid w:val="26FE735D"/>
    <w:rsid w:val="30336FAA"/>
    <w:rsid w:val="31F44500"/>
    <w:rsid w:val="33EA3E24"/>
    <w:rsid w:val="3558300F"/>
    <w:rsid w:val="370420C2"/>
    <w:rsid w:val="3B4F14DF"/>
    <w:rsid w:val="3C9B0608"/>
    <w:rsid w:val="3C9F68F2"/>
    <w:rsid w:val="418D5566"/>
    <w:rsid w:val="45E1035A"/>
    <w:rsid w:val="479E1742"/>
    <w:rsid w:val="4BD765E4"/>
    <w:rsid w:val="52374C03"/>
    <w:rsid w:val="53B042EA"/>
    <w:rsid w:val="54CA13DC"/>
    <w:rsid w:val="57030BD5"/>
    <w:rsid w:val="5D626A5C"/>
    <w:rsid w:val="5DA46188"/>
    <w:rsid w:val="694B4022"/>
    <w:rsid w:val="6A2B4273"/>
    <w:rsid w:val="6EE47FD9"/>
    <w:rsid w:val="71D14B22"/>
    <w:rsid w:val="72367C59"/>
    <w:rsid w:val="757B764E"/>
    <w:rsid w:val="75D02172"/>
    <w:rsid w:val="788D7EA7"/>
    <w:rsid w:val="7B8F3F36"/>
    <w:rsid w:val="7D0A5A4B"/>
    <w:rsid w:val="7E1E60AD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16"/>
    <w:basedOn w:val="6"/>
    <w:qFormat/>
    <w:uiPriority w:val="0"/>
  </w:style>
  <w:style w:type="character" w:customStyle="1" w:styleId="12">
    <w:name w:val="15"/>
    <w:basedOn w:val="6"/>
    <w:qFormat/>
    <w:uiPriority w:val="0"/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1733</Words>
  <Characters>1843</Characters>
  <Lines>23</Lines>
  <Paragraphs>6</Paragraphs>
  <TotalTime>0</TotalTime>
  <ScaleCrop>false</ScaleCrop>
  <LinksUpToDate>false</LinksUpToDate>
  <CharactersWithSpaces>1874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2021-04-26T04:56:00Z</dcterms:created>
  <dc:creator>Administrator</dc:creator>
  <cp:lastModifiedBy>陈妍</cp:lastModifiedBy>
  <dcterms:modified xsi:type="dcterms:W3CDTF">2025-05-08T10:31:13Z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8E3B054C4A04474E89A3092256E964D7_13</vt:lpwstr>
  </property>
  <property fmtid="{D5CDD505-2E9C-101B-9397-08002B2CF9AE}" pid="4" name="KSOTemplateDocerSaveRecord">
    <vt:lpwstr>eyJoZGlkIjoiMmIwNWQ1ZmE2ZDUxMzlkYzE0NGIxNjlhZDVmNzJkNzQiLCJ1c2VySWQiOiI1NzY0ODk0NjQifQ==</vt:lpwstr>
  </property>
</Properties>
</file>