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96" w:rsidRDefault="00C71396">
      <w:pPr>
        <w:spacing w:line="211" w:lineRule="auto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附件</w:t>
      </w:r>
      <w:r>
        <w:rPr>
          <w:rFonts w:ascii="方正黑体_GBK" w:eastAsia="方正黑体_GBK" w:hAnsi="Times New Roman"/>
          <w:sz w:val="32"/>
          <w:szCs w:val="32"/>
        </w:rPr>
        <w:t>1</w:t>
      </w:r>
    </w:p>
    <w:p w:rsidR="00C71396" w:rsidRDefault="00C71396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安徽省技能型高水平大学建设标准</w:t>
      </w:r>
      <w:r w:rsidRPr="005C7F8C">
        <w:rPr>
          <w:rFonts w:ascii="方正小标宋_GBK" w:eastAsia="方正小标宋_GBK" w:hint="eastAsia"/>
          <w:sz w:val="32"/>
          <w:szCs w:val="32"/>
        </w:rPr>
        <w:t>（试行）</w:t>
      </w:r>
    </w:p>
    <w:p w:rsidR="00C71396" w:rsidRDefault="00C71396">
      <w:pPr>
        <w:jc w:val="center"/>
      </w:pPr>
      <w:r>
        <w:t xml:space="preserve"> </w:t>
      </w:r>
    </w:p>
    <w:p w:rsidR="00C71396" w:rsidRDefault="00C71396">
      <w:pPr>
        <w:jc w:val="center"/>
      </w:pPr>
    </w:p>
    <w:p w:rsidR="00C71396" w:rsidRDefault="00C71396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7229"/>
      </w:tblGrid>
      <w:tr w:rsidR="00C71396">
        <w:trPr>
          <w:trHeight w:val="424"/>
        </w:trPr>
        <w:tc>
          <w:tcPr>
            <w:tcW w:w="1101" w:type="dxa"/>
          </w:tcPr>
          <w:p w:rsidR="00C71396" w:rsidRDefault="00C71396">
            <w:pPr>
              <w:jc w:val="center"/>
              <w:rPr>
                <w:b/>
                <w:bCs/>
                <w:u w:color="FFFFFF"/>
              </w:rPr>
            </w:pPr>
            <w:r>
              <w:rPr>
                <w:rFonts w:hint="eastAsia"/>
                <w:b/>
                <w:bCs/>
                <w:u w:val="single" w:color="FFFFFF"/>
              </w:rPr>
              <w:t>指</w:t>
            </w:r>
            <w:r>
              <w:rPr>
                <w:b/>
                <w:bCs/>
                <w:u w:val="single" w:color="FFFFFF"/>
              </w:rPr>
              <w:t xml:space="preserve"> </w:t>
            </w:r>
            <w:r>
              <w:rPr>
                <w:rFonts w:hint="eastAsia"/>
                <w:b/>
                <w:bCs/>
                <w:u w:val="single" w:color="FFFFFF"/>
              </w:rPr>
              <w:t>标</w:t>
            </w:r>
          </w:p>
        </w:tc>
        <w:tc>
          <w:tcPr>
            <w:tcW w:w="7229" w:type="dxa"/>
          </w:tcPr>
          <w:p w:rsidR="00C71396" w:rsidRDefault="00C71396">
            <w:pPr>
              <w:jc w:val="center"/>
              <w:rPr>
                <w:b/>
                <w:bCs/>
                <w:u w:color="FFFFFF"/>
              </w:rPr>
            </w:pPr>
            <w:r>
              <w:rPr>
                <w:rFonts w:hint="eastAsia"/>
                <w:b/>
                <w:bCs/>
                <w:u w:val="single" w:color="FFFFFF"/>
              </w:rPr>
              <w:t>标</w:t>
            </w:r>
            <w:r>
              <w:rPr>
                <w:b/>
                <w:bCs/>
                <w:u w:val="single" w:color="FFFFFF"/>
              </w:rPr>
              <w:t xml:space="preserve">  </w:t>
            </w:r>
            <w:r>
              <w:rPr>
                <w:rFonts w:hint="eastAsia"/>
                <w:b/>
                <w:bCs/>
                <w:u w:val="single" w:color="FFFFFF"/>
              </w:rPr>
              <w:t>准</w:t>
            </w:r>
          </w:p>
        </w:tc>
      </w:tr>
      <w:tr w:rsidR="00C71396">
        <w:trPr>
          <w:trHeight w:val="1765"/>
        </w:trPr>
        <w:tc>
          <w:tcPr>
            <w:tcW w:w="1101" w:type="dxa"/>
          </w:tcPr>
          <w:p w:rsidR="00C71396" w:rsidRDefault="00C71396"/>
          <w:p w:rsidR="00C71396" w:rsidRDefault="00C71396">
            <w:pPr>
              <w:jc w:val="center"/>
              <w:rPr>
                <w:b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办学</w:t>
            </w:r>
          </w:p>
          <w:p w:rsidR="00C71396" w:rsidRDefault="00C71396">
            <w:pPr>
              <w:jc w:val="center"/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定位</w:t>
            </w:r>
          </w:p>
        </w:tc>
        <w:tc>
          <w:tcPr>
            <w:tcW w:w="7229" w:type="dxa"/>
          </w:tcPr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办学方向。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在党的坚强领导下，全面贯彻党的教育方针，坚持社会主义办学方向，以立德树人为根本任务，培养德智体美劳全面发展的社会主义建设者和接班人。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2.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学校治理。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坚持党委领导下的校长负责制，充分发挥党委总揽全局、协调各方的领导核心作用；推进学校治理体系和治理能力现代化。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党委会、校长办公会纪要；学院章程。</w:t>
            </w: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3.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发展规划。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与安徽经济社会发展同步规划、与产业升级和新型产业发展同步实施、与技术进步同步升级，促进人才培养供给侧和产业需求侧结构要素全方位融合。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学校发展规划等。</w:t>
            </w:r>
          </w:p>
          <w:p w:rsidR="00C71396" w:rsidRDefault="003140D8" w:rsidP="008700B9">
            <w:pPr>
              <w:widowControl/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3140D8">
              <w:rPr>
                <w:rFonts w:ascii="方正仿宋_GBK" w:eastAsia="方正仿宋_GBK" w:hAnsi="仿宋" w:cs="仿宋"/>
                <w:b/>
                <w:sz w:val="28"/>
                <w:szCs w:val="28"/>
              </w:rPr>
              <w:t>4.</w:t>
            </w:r>
            <w:r w:rsidR="00C71396"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专业设置。</w:t>
            </w:r>
            <w:r w:rsidR="00C71396">
              <w:rPr>
                <w:rFonts w:ascii="方正仿宋_GBK" w:eastAsia="方正仿宋_GBK" w:hAnsi="仿宋" w:cs="仿宋" w:hint="eastAsia"/>
                <w:sz w:val="28"/>
                <w:szCs w:val="28"/>
              </w:rPr>
              <w:t>专业设置与地方产业结构相匹配；能随产业升级和新兴产业动态调整专业和改造传统专业，适应产业变革和新经济发展，形成特色鲜明的专业供给。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学校专业发展规划等；专业设置与区域重点产业匹配度达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80%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以上（行业类院校专业设置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需能够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覆盖和服务行业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80%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以上的岗位）；安徽本地就业率达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70%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以上（市属院校在本市区域内就业率达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lastRenderedPageBreak/>
              <w:t>上或省内就业率达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70%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以上）；在高成长企业或中小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微企业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就业率达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60%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以上；与国内知名企业或行业领军企业共建专业比例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以上。</w:t>
            </w:r>
          </w:p>
        </w:tc>
      </w:tr>
      <w:tr w:rsidR="00C71396">
        <w:trPr>
          <w:trHeight w:val="90"/>
        </w:trPr>
        <w:tc>
          <w:tcPr>
            <w:tcW w:w="1101" w:type="dxa"/>
          </w:tcPr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widowControl/>
              <w:spacing w:line="580" w:lineRule="exact"/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2.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技术技能人才培养</w:t>
            </w:r>
          </w:p>
        </w:tc>
        <w:tc>
          <w:tcPr>
            <w:tcW w:w="7229" w:type="dxa"/>
          </w:tcPr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5.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培养目标定位。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在满足专业人才培养目标前提下，部分专业要以培养“高精尖缺”技术技能人才为专业人才培养目标，实现高定位的培养目标；落实国家专业标准，鼓励制订实施高于国家标准的校本标准；实行</w:t>
            </w:r>
            <w:r w:rsidR="009B02FE" w:rsidRPr="009B02FE">
              <w:rPr>
                <w:rFonts w:ascii="方正仿宋_GBK" w:eastAsia="方正仿宋_GBK" w:hAnsi="仿宋" w:cs="仿宋" w:hint="eastAsia"/>
                <w:sz w:val="28"/>
                <w:szCs w:val="28"/>
              </w:rPr>
              <w:t>1+X(学历证书+职业技能等级证书) 证书制度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专业人才培养方案、校本标准等；“高精尖缺”技术技能人才比例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以上；在校生取得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X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证书人数不少于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。</w:t>
            </w:r>
          </w:p>
          <w:p w:rsidR="00C71396" w:rsidRDefault="00C71396" w:rsidP="0084010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6.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产教融合、校企合作。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促进教育链、人才链与产业链、创新链有机衔接的产教融合，深化“引企入教”改革，与知名行业企业建立产教联盟，共同开发专业标准、课程标准和人才质量标准，建立职业教育模式标准；优选业内领先企业开展现代学徒制培养，在技术性、实践性较强的专业探索“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天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+2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天”的教学组织形式。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共同开发的相关标准等；成为教育部或省批准的现代学徒制和企业新型学徒制试点单位；各类订单班、现代学徒制等参与人数占比达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7.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品牌专业（群）建设。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瞄准地方产业发展前沿建设一流品牌专业（群），在地方或行业内有较高的知名度；探索专业（群）联合知名企业建设特色产业学院，共同建设专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lastRenderedPageBreak/>
              <w:t>业（群）；重视专业资源建设，职业教育专业教学资源库建设成效明显。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有特色产业学院；省级重点建设（示范、特色等）专业达到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6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个；国家级重点建设专业达到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以上；主持（含联合）国家级（或备选）职业教育专业教学资源库或不少于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4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个专业参与国家级职业教育专业教学资源库建设。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8.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课程改革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。强调理论与实践的融合，依据行动导向，紧贴岗位实际工作过程，大力推进项目化和任务化课程建设，动态更新课程内容，建立职业教育课程标准；充分利用信息化技术改造传统课堂，提升教学效果，推进虚拟工厂等网络学习空间建设和普遍应用；教材随信息技术发展和产业升级及时动态调整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有国家级精品在线开放课程或省级以上精品在线开放课程达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门以上；有校企“双元”合作开发的国家级教材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种以上；利用信息化手段完成课堂教学的教师比例达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60%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以上；近三年省级以上教学能力大赛获奖数达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项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年以上或国家级教学能力大赛获奖数达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2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项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年以上。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9.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创新创业教育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。以创新带动创业、推进专业教育基础上的创新创业教育；建成具有鲜明职业教育特色的创新创业课程体系；形成一批产教融合的创新创业服务模式。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创新创业课程体系；校友毕业三年内创业率达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以上；校内创业孵化存活率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40%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lastRenderedPageBreak/>
              <w:t>10.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人才培养质量与教学成果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。建立健全专业人才培养质量标准，定期发布高等职业教育质量年度报告；社会认可度高，企业满意度高；建立健全三级职业技能竞赛体制机制；注重总结教学成果。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学校质量年度报告等；学生报考率、报到率均居全省高职院校前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1/3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；有国家教学成果奖或省级教学一等奖以上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项以上；省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(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部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)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级技能大赛获奖数每年达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个（财经、政法、体育、艺术院校达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20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个；师范、医学院校达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10</w:t>
            </w:r>
            <w:r w:rsidR="00D15B33">
              <w:rPr>
                <w:rFonts w:ascii="方正仿宋_GBK" w:eastAsia="方正仿宋_GBK" w:hAnsi="仿宋" w:cs="仿宋" w:hint="eastAsia"/>
                <w:sz w:val="28"/>
                <w:szCs w:val="28"/>
              </w:rPr>
              <w:t>个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）以上；全国职业技能大赛获奖数每年达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6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个（财经、政法、体育、艺术院校达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4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个；师范、医学院校达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个）以上。</w:t>
            </w:r>
          </w:p>
        </w:tc>
      </w:tr>
      <w:tr w:rsidR="00C71396">
        <w:trPr>
          <w:trHeight w:val="90"/>
        </w:trPr>
        <w:tc>
          <w:tcPr>
            <w:tcW w:w="1101" w:type="dxa"/>
          </w:tcPr>
          <w:p w:rsidR="00C71396" w:rsidRDefault="00C71396">
            <w:pPr>
              <w:jc w:val="center"/>
            </w:pPr>
          </w:p>
          <w:p w:rsidR="00C71396" w:rsidRDefault="00C71396">
            <w:pPr>
              <w:jc w:val="center"/>
              <w:rPr>
                <w:b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center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3.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师资队伍建设</w:t>
            </w:r>
          </w:p>
        </w:tc>
        <w:tc>
          <w:tcPr>
            <w:tcW w:w="7229" w:type="dxa"/>
          </w:tcPr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11.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师资队伍建设水平。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坚持把教师队伍建设作为基础工作，培育一支有理想信念、有道德情操、有扎实学识、有仁爱之心的教师队伍；落实教师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年一周期的全员轮训制度，具有支持教师持续提升教学水平和实践能力的制度机制并运行良好。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师资队伍建设规划等；师生比达到或超过《普通高等学校基本办学条件指标》要求；重点建设专业具有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2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名高水平专业带头人；省部级以上教学名师、优秀教学团队、专业领军人才、高校优秀青年人才数量排名在全省前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 /3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；拥有海外留学、访学经历的国际水平的领军人才和高水平创新团队。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12.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“双师型”教师队伍建设。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培养和引进“双师型”教师，优化“双师”队伍结构；实施“双师”教师素质提高计划，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lastRenderedPageBreak/>
              <w:t>落实全员轮训；注重吸引高水平行业精英和企业骨干来校任教。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专任专业课教师每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年在行业企业实践累计半年以上，每年至少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个月在企业或实训基地实训；专业课教师“双师型”比例达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80%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（财经、政法、体育、艺术院校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70%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；师范、医学院校达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60%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）以上；“双师型”教师与学生比例达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1:25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；企业一线兼职教师占专业课教师比例达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以上；有技能大师工作室。</w:t>
            </w:r>
          </w:p>
        </w:tc>
      </w:tr>
      <w:tr w:rsidR="00C71396">
        <w:trPr>
          <w:trHeight w:val="1878"/>
        </w:trPr>
        <w:tc>
          <w:tcPr>
            <w:tcW w:w="1101" w:type="dxa"/>
          </w:tcPr>
          <w:p w:rsidR="00C71396" w:rsidRDefault="00C71396">
            <w:pPr>
              <w:jc w:val="center"/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4.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科技研发应用与社会服务</w:t>
            </w:r>
          </w:p>
        </w:tc>
        <w:tc>
          <w:tcPr>
            <w:tcW w:w="7229" w:type="dxa"/>
          </w:tcPr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13.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研发应用。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建立技术研发、成果转化、应用推广“一体化”机制；校企合作攻关、课题研究和技术革新，解决技术难题；协同创新水平高。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技术服务到款额（横向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纵向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技术交易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非学历培训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公益性培训服务）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1000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万元（财经、政法、体育、艺术院校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万元；师范、医学院校达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800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万元）以上；有应用技术协同创新中心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个以上。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14.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成果开发与转化。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建立技术成果孵化转移新体制，鼓励教师从事成果开发和转化活动，探索以成果完成人、转化人为分配主体的成果收益分配机制；提升民族传统工艺的高保真传承和高水平创新；重视知识产权成果的开发与保护。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年均授权专利数达到在校生数的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0.1%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（财经、政法、体育、艺术院校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0.05%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；师范、医学院校有专利）以上；技术成果转化数量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个（财经、政法、体育、艺术院校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个；师范、医学院校有技术转化）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lastRenderedPageBreak/>
              <w:t>以上。</w:t>
            </w:r>
          </w:p>
          <w:p w:rsidR="00C71396" w:rsidRDefault="00C71396" w:rsidP="008700B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15.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社会服务。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探索建立类型链（继续教育、自考、远程）、层次链（专、本、硕）和形式链（培训、鉴定、认证）融合发展的全方位社会服务新模式，助力学习型社会建设。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培训和鉴定人次达到普通在校生规模的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1.2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倍（财经、政法、体育、艺术院校和师范、医学院校达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0.6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倍）以上；继续教育规模达到普通在校生规模的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1/2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以上；职业教育师资培训人次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人次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年；有省级以上职业教育师资培训基地。</w:t>
            </w:r>
          </w:p>
        </w:tc>
      </w:tr>
      <w:tr w:rsidR="00C71396">
        <w:trPr>
          <w:trHeight w:val="1020"/>
        </w:trPr>
        <w:tc>
          <w:tcPr>
            <w:tcW w:w="1101" w:type="dxa"/>
          </w:tcPr>
          <w:p w:rsidR="00C71396" w:rsidRDefault="00C71396">
            <w:pPr>
              <w:rPr>
                <w:color w:val="0000FF"/>
              </w:rPr>
            </w:pPr>
          </w:p>
          <w:p w:rsidR="00BF1AD0" w:rsidRDefault="00C71396" w:rsidP="005C7F8C">
            <w:pPr>
              <w:ind w:firstLineChars="300" w:firstLine="843"/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 xml:space="preserve"> </w:t>
            </w:r>
          </w:p>
          <w:p w:rsidR="00BF1AD0" w:rsidRDefault="00BF1AD0" w:rsidP="005C7F8C">
            <w:pPr>
              <w:ind w:firstLineChars="300" w:firstLine="843"/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 w:rsidP="008700B9">
            <w:pPr>
              <w:jc w:val="left"/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5.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校园文化</w:t>
            </w: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C71396" w:rsidRPr="00D70BAD" w:rsidRDefault="00C71396" w:rsidP="00D70BAD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16.</w:t>
            </w:r>
            <w:r w:rsidRPr="00D70BAD">
              <w:rPr>
                <w:rFonts w:ascii="方正仿宋_GBK" w:eastAsia="方正仿宋_GBK" w:hAnsi="仿宋" w:cs="仿宋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70BAD"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文化</w:t>
            </w:r>
            <w:r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育</w:t>
            </w:r>
            <w:r w:rsidRPr="00D70BAD"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人。</w:t>
            </w:r>
            <w:r w:rsidRPr="00D70BAD">
              <w:rPr>
                <w:rFonts w:ascii="方正仿宋_GBK" w:eastAsia="方正仿宋_GBK" w:hAnsi="仿宋" w:cs="仿宋" w:hint="eastAsia"/>
                <w:color w:val="000000"/>
                <w:sz w:val="28"/>
                <w:szCs w:val="28"/>
              </w:rPr>
              <w:t>把社会主义核心价值观融入学校发展各方面，培养学生工匠精神，厚植工匠文化，建立职业教育素养标准，打造具有学校自身特色的校园文化。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color w:val="000000"/>
                <w:sz w:val="28"/>
                <w:szCs w:val="28"/>
              </w:rPr>
            </w:pPr>
            <w:r w:rsidRPr="00D70BAD"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主要监测内容和指标：</w:t>
            </w:r>
            <w:r w:rsidRPr="00D70BAD">
              <w:rPr>
                <w:rFonts w:ascii="方正仿宋_GBK" w:eastAsia="方正仿宋_GBK" w:hAnsi="仿宋" w:cs="仿宋" w:hint="eastAsia"/>
                <w:color w:val="000000"/>
                <w:sz w:val="28"/>
                <w:szCs w:val="28"/>
              </w:rPr>
              <w:t>校园文化建设发展规划；文化育人体系等；获省部级以上文明单位或文明校园称号；获得省部级表彰的优秀毕业生学生；校园文化建设方面的省部级媒体报道新闻；校园文化品牌活动等。</w:t>
            </w:r>
          </w:p>
          <w:p w:rsidR="00C71396" w:rsidRPr="00D70BAD" w:rsidRDefault="00C71396" w:rsidP="00D70BAD">
            <w:pPr>
              <w:widowControl/>
              <w:spacing w:line="580" w:lineRule="exact"/>
              <w:rPr>
                <w:rFonts w:ascii="方正仿宋_GBK" w:eastAsia="方正仿宋_GBK" w:hAnsi="仿宋" w:cs="仿宋"/>
                <w:color w:val="000000"/>
                <w:sz w:val="28"/>
                <w:szCs w:val="28"/>
              </w:rPr>
            </w:pPr>
            <w:r w:rsidRPr="00D70BAD">
              <w:rPr>
                <w:rFonts w:ascii="方正仿宋_GBK" w:eastAsia="方正仿宋_GBK" w:hAnsi="仿宋" w:cs="仿宋"/>
                <w:b/>
                <w:bCs/>
                <w:color w:val="000000"/>
                <w:sz w:val="28"/>
                <w:szCs w:val="28"/>
              </w:rPr>
              <w:t>17.</w:t>
            </w:r>
            <w:r w:rsidRPr="00D70BAD"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管理文化。</w:t>
            </w:r>
            <w:r w:rsidRPr="00D70BAD">
              <w:rPr>
                <w:rFonts w:ascii="方正仿宋_GBK" w:eastAsia="方正仿宋_GBK" w:hAnsi="仿宋" w:cs="仿宋" w:hint="eastAsia"/>
                <w:color w:val="000000"/>
                <w:sz w:val="28"/>
                <w:szCs w:val="28"/>
              </w:rPr>
              <w:t>完善作风建设机制，厘清部门职能职责，加强权力运行制约和监督，强化内控体系建设；丰富领导和师生交流渠道，提高民主管理水平；倡导包容文化，建立容错机制，营造良好的校园人文生态。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color w:val="000000"/>
                <w:sz w:val="28"/>
                <w:szCs w:val="28"/>
              </w:rPr>
            </w:pPr>
            <w:r w:rsidRPr="00D70BAD"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主要监测内容和指标：</w:t>
            </w:r>
            <w:r w:rsidRPr="00D70BAD">
              <w:rPr>
                <w:rFonts w:ascii="方正仿宋_GBK" w:eastAsia="方正仿宋_GBK" w:hAnsi="仿宋" w:cs="仿宋" w:hint="eastAsia"/>
                <w:color w:val="000000"/>
                <w:sz w:val="28"/>
                <w:szCs w:val="28"/>
              </w:rPr>
              <w:t>学校“三定方案”；党务校务公开情况；学校内控手册等；校领导与师生交流沟通等活动记录；学术委员会活动记录。</w:t>
            </w:r>
          </w:p>
          <w:p w:rsidR="00C71396" w:rsidRDefault="003140D8" w:rsidP="00717262">
            <w:pPr>
              <w:widowControl/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3140D8">
              <w:rPr>
                <w:rFonts w:ascii="方正仿宋_GBK" w:eastAsia="方正仿宋_GBK" w:hAnsi="仿宋" w:cs="仿宋"/>
                <w:b/>
                <w:color w:val="000000"/>
                <w:sz w:val="28"/>
                <w:szCs w:val="28"/>
              </w:rPr>
              <w:t>18.</w:t>
            </w:r>
            <w:r w:rsidRPr="003140D8">
              <w:rPr>
                <w:rFonts w:ascii="方正仿宋_GBK" w:eastAsia="方正仿宋_GBK" w:hAnsi="仿宋" w:cs="仿宋" w:hint="eastAsia"/>
                <w:b/>
                <w:color w:val="000000"/>
                <w:sz w:val="28"/>
                <w:szCs w:val="28"/>
              </w:rPr>
              <w:t>校</w:t>
            </w:r>
            <w:r w:rsidR="00C71396">
              <w:rPr>
                <w:rFonts w:ascii="方正仿宋_GBK" w:eastAsia="方正仿宋_GBK" w:hAnsi="仿宋" w:cs="仿宋" w:hint="eastAsia"/>
                <w:b/>
                <w:sz w:val="28"/>
                <w:szCs w:val="28"/>
              </w:rPr>
              <w:t>园环境。</w:t>
            </w:r>
            <w:r w:rsidR="00C71396">
              <w:rPr>
                <w:rFonts w:ascii="方正仿宋_GBK" w:eastAsia="方正仿宋_GBK" w:hAnsi="仿宋" w:cs="仿宋" w:hint="eastAsia"/>
                <w:sz w:val="28"/>
                <w:szCs w:val="28"/>
              </w:rPr>
              <w:t>校园布局合理、环境优美、生态和谐。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 w:rsidRPr="00D70BAD"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lastRenderedPageBreak/>
              <w:t>主要监测内容和指标：</w:t>
            </w:r>
            <w:r>
              <w:rPr>
                <w:rFonts w:ascii="方正仿宋_GBK" w:eastAsia="方正仿宋_GBK" w:hAnsi="仿宋" w:cs="仿宋" w:hint="eastAsia"/>
                <w:b/>
                <w:bCs/>
                <w:color w:val="000000"/>
                <w:sz w:val="28"/>
                <w:szCs w:val="28"/>
              </w:rPr>
              <w:t>校容校貌、校园环境设施等</w:t>
            </w:r>
          </w:p>
        </w:tc>
      </w:tr>
      <w:tr w:rsidR="00C71396">
        <w:trPr>
          <w:trHeight w:val="1500"/>
        </w:trPr>
        <w:tc>
          <w:tcPr>
            <w:tcW w:w="1101" w:type="dxa"/>
          </w:tcPr>
          <w:p w:rsidR="00C71396" w:rsidRDefault="00C71396"/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 w:rsidP="00840109">
            <w:pPr>
              <w:jc w:val="left"/>
              <w:rPr>
                <w:color w:val="0000FF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6.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开放办学</w:t>
            </w:r>
          </w:p>
        </w:tc>
        <w:tc>
          <w:tcPr>
            <w:tcW w:w="7229" w:type="dxa"/>
          </w:tcPr>
          <w:p w:rsidR="00C71396" w:rsidRDefault="00C71396" w:rsidP="0084010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19.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国际交流。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积极拓展国际交流；引进高水平教育资源；吸引“一带一路”沿线国家学生接受教育；承接“走出去”海外员工的职业教育培训。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具有经教育主管部门批准的中外合作办学项目或国际教育交流项目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个以上。具有服务相关行业企业“走出去”的技术服务和技能培训项目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个以上。</w:t>
            </w:r>
          </w:p>
          <w:p w:rsidR="00C71396" w:rsidRDefault="00C71396" w:rsidP="0084010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20.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开放办学。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联合职业院校和相关企业组建职业教育集团或联盟，发展成紧密型职业教育集团，完善集团内部产权制度和利益共享机制；推进“学分银行”建设和应用促进学历证书和职业技能等级证书融通。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职教集团运行机制、“学分银行”方案；学历证书和职业技能等级证书融通办法。</w:t>
            </w:r>
          </w:p>
        </w:tc>
      </w:tr>
      <w:tr w:rsidR="00C71396">
        <w:trPr>
          <w:trHeight w:val="90"/>
        </w:trPr>
        <w:tc>
          <w:tcPr>
            <w:tcW w:w="1101" w:type="dxa"/>
          </w:tcPr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</w:pPr>
          </w:p>
          <w:p w:rsidR="00C71396" w:rsidRDefault="00C71396">
            <w:pPr>
              <w:jc w:val="left"/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7.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条件保障</w:t>
            </w:r>
          </w:p>
        </w:tc>
        <w:tc>
          <w:tcPr>
            <w:tcW w:w="7229" w:type="dxa"/>
          </w:tcPr>
          <w:p w:rsidR="00C71396" w:rsidRDefault="00C71396" w:rsidP="0084010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21.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基础条件。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校园规划布局合理、环境优美、生态和谐；校园基础设施、实践教学条件优越；推动基于物联网、移动互联、大数据、云计算、人工智能的学校治理方式变革，建成功能先进的智慧校园和完善的信息化服务体系。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校园建设规划；生均占地面积、各类建筑和场所面积等条件超过国家规定的建设标准；理工农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类院校生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均教学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科研仪器设备值达到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8 000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元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生以上；财经、政法、体育、艺术院校生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均教学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科研仪器设备值达到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6000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元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生以上；生均信息化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投入值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2000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元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/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lastRenderedPageBreak/>
              <w:t>生以上。</w:t>
            </w:r>
          </w:p>
          <w:p w:rsidR="00C71396" w:rsidRDefault="00C71396" w:rsidP="0084010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22.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经费投入。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主管部门或举办者拨付的经费充足，能够满足学校事业发展的需要；学校用于教学经费的比例高，主要经费投入教学一线。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年生均办学经费水平达到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12000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元以上（含财政拨款和其他经费来源）；学校用于教学经费的比例达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以上，其中实践教学经费占生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均教学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经费达到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50%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（财经、政法、体育、艺术院校达到</w:t>
            </w:r>
            <w:r>
              <w:rPr>
                <w:rFonts w:ascii="方正仿宋_GBK" w:eastAsia="方正仿宋_GBK" w:hAnsi="仿宋" w:cs="仿宋"/>
                <w:sz w:val="28"/>
                <w:szCs w:val="28"/>
              </w:rPr>
              <w:t>30%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）以上。</w:t>
            </w:r>
          </w:p>
          <w:p w:rsidR="00C71396" w:rsidRDefault="00C71396" w:rsidP="00840109">
            <w:pPr>
              <w:widowControl/>
              <w:tabs>
                <w:tab w:val="left" w:pos="312"/>
              </w:tabs>
              <w:spacing w:line="580" w:lineRule="exact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/>
                <w:b/>
                <w:bCs/>
                <w:sz w:val="28"/>
                <w:szCs w:val="28"/>
              </w:rPr>
              <w:t>23.</w:t>
            </w: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保障体系。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学校具备完整严谨的教学体系，规范的管理制度；全面实施教学工作诊断与改进制度，形成常态化的内部质量保证制度体系和运行机制。</w:t>
            </w:r>
          </w:p>
          <w:p w:rsidR="00BF1AD0" w:rsidRDefault="00C71396" w:rsidP="005C7F8C">
            <w:pPr>
              <w:widowControl/>
              <w:spacing w:line="580" w:lineRule="exact"/>
              <w:ind w:firstLineChars="200" w:firstLine="562"/>
              <w:rPr>
                <w:rFonts w:ascii="方正仿宋_GBK" w:eastAsia="方正仿宋_GBK" w:hAnsi="仿宋" w:cs="仿宋"/>
                <w:sz w:val="28"/>
                <w:szCs w:val="28"/>
              </w:rPr>
            </w:pPr>
            <w:r>
              <w:rPr>
                <w:rFonts w:ascii="方正仿宋_GBK" w:eastAsia="方正仿宋_GBK" w:hAnsi="仿宋" w:cs="仿宋" w:hint="eastAsia"/>
                <w:b/>
                <w:bCs/>
                <w:sz w:val="28"/>
                <w:szCs w:val="28"/>
              </w:rPr>
              <w:t>主要监测内容和指标：</w:t>
            </w:r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教学工作诊断方案；</w:t>
            </w:r>
            <w:proofErr w:type="gramStart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诊改复核</w:t>
            </w:r>
            <w:proofErr w:type="gramEnd"/>
            <w:r>
              <w:rPr>
                <w:rFonts w:ascii="方正仿宋_GBK" w:eastAsia="方正仿宋_GBK" w:hAnsi="仿宋" w:cs="仿宋" w:hint="eastAsia"/>
                <w:sz w:val="28"/>
                <w:szCs w:val="28"/>
              </w:rPr>
              <w:t>等级达到“有效”。</w:t>
            </w:r>
          </w:p>
        </w:tc>
      </w:tr>
    </w:tbl>
    <w:p w:rsidR="00C71396" w:rsidRDefault="00C71396">
      <w:bookmarkStart w:id="0" w:name="_GoBack"/>
      <w:bookmarkEnd w:id="0"/>
    </w:p>
    <w:sectPr w:rsidR="00C71396" w:rsidSect="00C71396">
      <w:foot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96" w:rsidRDefault="00C71396" w:rsidP="00EB3E93">
      <w:r>
        <w:separator/>
      </w:r>
    </w:p>
  </w:endnote>
  <w:endnote w:type="continuationSeparator" w:id="0">
    <w:p w:rsidR="00C71396" w:rsidRDefault="00C71396" w:rsidP="00EB3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96" w:rsidRDefault="00C71396">
    <w:pPr>
      <w:pStyle w:val="a5"/>
      <w:tabs>
        <w:tab w:val="left" w:pos="6923"/>
      </w:tabs>
    </w:pPr>
    <w:r>
      <w:tab/>
    </w:r>
    <w:fldSimple w:instr=" PAGE   \* MERGEFORMAT ">
      <w:r w:rsidR="00045ABE" w:rsidRPr="00045ABE">
        <w:rPr>
          <w:noProof/>
          <w:lang w:val="zh-CN"/>
        </w:rPr>
        <w:t>2</w:t>
      </w:r>
    </w:fldSimple>
    <w:r>
      <w:tab/>
    </w:r>
  </w:p>
  <w:p w:rsidR="00C71396" w:rsidRDefault="00C713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96" w:rsidRDefault="00C71396" w:rsidP="00EB3E93">
      <w:r>
        <w:separator/>
      </w:r>
    </w:p>
  </w:footnote>
  <w:footnote w:type="continuationSeparator" w:id="0">
    <w:p w:rsidR="00C71396" w:rsidRDefault="00C71396" w:rsidP="00EB3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98EBA2"/>
    <w:multiLevelType w:val="singleLevel"/>
    <w:tmpl w:val="AB98EBA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B2B1DFFC"/>
    <w:multiLevelType w:val="singleLevel"/>
    <w:tmpl w:val="B2B1DFF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EC6C434D"/>
    <w:multiLevelType w:val="singleLevel"/>
    <w:tmpl w:val="EC6C434D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FBED15BB"/>
    <w:multiLevelType w:val="singleLevel"/>
    <w:tmpl w:val="FBED15BB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13B00E21"/>
    <w:multiLevelType w:val="singleLevel"/>
    <w:tmpl w:val="13B00E21"/>
    <w:lvl w:ilvl="0">
      <w:start w:val="3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5">
    <w:nsid w:val="4142298A"/>
    <w:multiLevelType w:val="singleLevel"/>
    <w:tmpl w:val="4142298A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6">
    <w:nsid w:val="6C85DB70"/>
    <w:multiLevelType w:val="singleLevel"/>
    <w:tmpl w:val="6C85DB7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676C"/>
    <w:rsid w:val="00037890"/>
    <w:rsid w:val="00045ABE"/>
    <w:rsid w:val="000C0A3A"/>
    <w:rsid w:val="000C64FF"/>
    <w:rsid w:val="000F240D"/>
    <w:rsid w:val="00116123"/>
    <w:rsid w:val="00116FB3"/>
    <w:rsid w:val="00117C8F"/>
    <w:rsid w:val="00135491"/>
    <w:rsid w:val="001510C8"/>
    <w:rsid w:val="001530EC"/>
    <w:rsid w:val="00171257"/>
    <w:rsid w:val="00171C32"/>
    <w:rsid w:val="00172A27"/>
    <w:rsid w:val="001734C4"/>
    <w:rsid w:val="00177422"/>
    <w:rsid w:val="001959DC"/>
    <w:rsid w:val="00196196"/>
    <w:rsid w:val="001A7300"/>
    <w:rsid w:val="001B389D"/>
    <w:rsid w:val="001B6ED0"/>
    <w:rsid w:val="001F191C"/>
    <w:rsid w:val="001F5473"/>
    <w:rsid w:val="00221E40"/>
    <w:rsid w:val="00223F62"/>
    <w:rsid w:val="002319D6"/>
    <w:rsid w:val="00265F89"/>
    <w:rsid w:val="00270281"/>
    <w:rsid w:val="00282023"/>
    <w:rsid w:val="002964F1"/>
    <w:rsid w:val="002D6786"/>
    <w:rsid w:val="002E05E5"/>
    <w:rsid w:val="003140D8"/>
    <w:rsid w:val="0034045B"/>
    <w:rsid w:val="00361C3F"/>
    <w:rsid w:val="003624BC"/>
    <w:rsid w:val="00366708"/>
    <w:rsid w:val="0039014D"/>
    <w:rsid w:val="003B30A3"/>
    <w:rsid w:val="003E1AA8"/>
    <w:rsid w:val="003F3E5F"/>
    <w:rsid w:val="003F5E4D"/>
    <w:rsid w:val="0040370C"/>
    <w:rsid w:val="00406A0C"/>
    <w:rsid w:val="00411745"/>
    <w:rsid w:val="00411C92"/>
    <w:rsid w:val="00425290"/>
    <w:rsid w:val="004268D4"/>
    <w:rsid w:val="00427E0D"/>
    <w:rsid w:val="004360AA"/>
    <w:rsid w:val="00445F27"/>
    <w:rsid w:val="00451BD2"/>
    <w:rsid w:val="0046342D"/>
    <w:rsid w:val="00470996"/>
    <w:rsid w:val="0047225A"/>
    <w:rsid w:val="004901BF"/>
    <w:rsid w:val="0049121B"/>
    <w:rsid w:val="00494C17"/>
    <w:rsid w:val="004B4A35"/>
    <w:rsid w:val="004B6429"/>
    <w:rsid w:val="004D7726"/>
    <w:rsid w:val="00500813"/>
    <w:rsid w:val="00515886"/>
    <w:rsid w:val="005242BF"/>
    <w:rsid w:val="00544EDE"/>
    <w:rsid w:val="005465BE"/>
    <w:rsid w:val="00550C37"/>
    <w:rsid w:val="005746B6"/>
    <w:rsid w:val="00586045"/>
    <w:rsid w:val="005976A7"/>
    <w:rsid w:val="005A6D77"/>
    <w:rsid w:val="005B1D4E"/>
    <w:rsid w:val="005B39C9"/>
    <w:rsid w:val="005C7F8C"/>
    <w:rsid w:val="005E3E32"/>
    <w:rsid w:val="005F10BA"/>
    <w:rsid w:val="005F115F"/>
    <w:rsid w:val="005F56E6"/>
    <w:rsid w:val="006128DE"/>
    <w:rsid w:val="00633DA6"/>
    <w:rsid w:val="006479FA"/>
    <w:rsid w:val="00652E4A"/>
    <w:rsid w:val="0065335F"/>
    <w:rsid w:val="00654E8B"/>
    <w:rsid w:val="00667D6D"/>
    <w:rsid w:val="00675F87"/>
    <w:rsid w:val="00680ECE"/>
    <w:rsid w:val="00693C39"/>
    <w:rsid w:val="00697546"/>
    <w:rsid w:val="006C78D3"/>
    <w:rsid w:val="006F44F3"/>
    <w:rsid w:val="00717262"/>
    <w:rsid w:val="00782337"/>
    <w:rsid w:val="00782971"/>
    <w:rsid w:val="007E464E"/>
    <w:rsid w:val="007F1FB3"/>
    <w:rsid w:val="00800FF2"/>
    <w:rsid w:val="0082774D"/>
    <w:rsid w:val="00840109"/>
    <w:rsid w:val="00843921"/>
    <w:rsid w:val="008700B9"/>
    <w:rsid w:val="00873048"/>
    <w:rsid w:val="008837E1"/>
    <w:rsid w:val="008A24A1"/>
    <w:rsid w:val="008D3F77"/>
    <w:rsid w:val="00906AED"/>
    <w:rsid w:val="009208DD"/>
    <w:rsid w:val="009246AF"/>
    <w:rsid w:val="0092601E"/>
    <w:rsid w:val="00977CAF"/>
    <w:rsid w:val="00991D2E"/>
    <w:rsid w:val="00992778"/>
    <w:rsid w:val="0099784D"/>
    <w:rsid w:val="009A2B4A"/>
    <w:rsid w:val="009B02FE"/>
    <w:rsid w:val="009B26F0"/>
    <w:rsid w:val="009C7ED0"/>
    <w:rsid w:val="009D1415"/>
    <w:rsid w:val="009F47AE"/>
    <w:rsid w:val="00A430F4"/>
    <w:rsid w:val="00A607C0"/>
    <w:rsid w:val="00A82AF5"/>
    <w:rsid w:val="00A8333D"/>
    <w:rsid w:val="00A92356"/>
    <w:rsid w:val="00A95C48"/>
    <w:rsid w:val="00AB02FD"/>
    <w:rsid w:val="00AC2915"/>
    <w:rsid w:val="00AC2A8F"/>
    <w:rsid w:val="00AC48B1"/>
    <w:rsid w:val="00AD0E1F"/>
    <w:rsid w:val="00AD7265"/>
    <w:rsid w:val="00AE019E"/>
    <w:rsid w:val="00AE1BF1"/>
    <w:rsid w:val="00AE3F81"/>
    <w:rsid w:val="00AE4269"/>
    <w:rsid w:val="00AE66A2"/>
    <w:rsid w:val="00AF18D9"/>
    <w:rsid w:val="00AF7A57"/>
    <w:rsid w:val="00B03339"/>
    <w:rsid w:val="00B14C1C"/>
    <w:rsid w:val="00B30F8B"/>
    <w:rsid w:val="00B3782C"/>
    <w:rsid w:val="00B43BB7"/>
    <w:rsid w:val="00B53157"/>
    <w:rsid w:val="00B56044"/>
    <w:rsid w:val="00B60233"/>
    <w:rsid w:val="00B743A5"/>
    <w:rsid w:val="00B8709F"/>
    <w:rsid w:val="00B95BF3"/>
    <w:rsid w:val="00BB6FFC"/>
    <w:rsid w:val="00BB7DF8"/>
    <w:rsid w:val="00BD79CF"/>
    <w:rsid w:val="00BE0394"/>
    <w:rsid w:val="00BE3224"/>
    <w:rsid w:val="00BF1AD0"/>
    <w:rsid w:val="00C21DA9"/>
    <w:rsid w:val="00C36E01"/>
    <w:rsid w:val="00C435E3"/>
    <w:rsid w:val="00C5379B"/>
    <w:rsid w:val="00C658C3"/>
    <w:rsid w:val="00C71396"/>
    <w:rsid w:val="00C919A3"/>
    <w:rsid w:val="00CA75C1"/>
    <w:rsid w:val="00CD429F"/>
    <w:rsid w:val="00CD64B5"/>
    <w:rsid w:val="00CE08AA"/>
    <w:rsid w:val="00CF3C3F"/>
    <w:rsid w:val="00D10AAE"/>
    <w:rsid w:val="00D15B33"/>
    <w:rsid w:val="00D32E4C"/>
    <w:rsid w:val="00D46D89"/>
    <w:rsid w:val="00D60950"/>
    <w:rsid w:val="00D70BAD"/>
    <w:rsid w:val="00D8241E"/>
    <w:rsid w:val="00D8400B"/>
    <w:rsid w:val="00D908C0"/>
    <w:rsid w:val="00DA41B3"/>
    <w:rsid w:val="00DC0361"/>
    <w:rsid w:val="00DC6024"/>
    <w:rsid w:val="00DD30FF"/>
    <w:rsid w:val="00DF6344"/>
    <w:rsid w:val="00DF6B32"/>
    <w:rsid w:val="00E07C1E"/>
    <w:rsid w:val="00E115B6"/>
    <w:rsid w:val="00E37B71"/>
    <w:rsid w:val="00E44523"/>
    <w:rsid w:val="00E557EA"/>
    <w:rsid w:val="00E620CA"/>
    <w:rsid w:val="00E64458"/>
    <w:rsid w:val="00E97406"/>
    <w:rsid w:val="00E975C5"/>
    <w:rsid w:val="00EA5C17"/>
    <w:rsid w:val="00EB3E93"/>
    <w:rsid w:val="00EC2053"/>
    <w:rsid w:val="00EC3FD3"/>
    <w:rsid w:val="00ED4ED8"/>
    <w:rsid w:val="00EE2A14"/>
    <w:rsid w:val="00F32988"/>
    <w:rsid w:val="00F42054"/>
    <w:rsid w:val="00F4621D"/>
    <w:rsid w:val="00F6547A"/>
    <w:rsid w:val="00F71FD0"/>
    <w:rsid w:val="00F72751"/>
    <w:rsid w:val="00F92841"/>
    <w:rsid w:val="00F95AA1"/>
    <w:rsid w:val="00FB1E1B"/>
    <w:rsid w:val="00FB373A"/>
    <w:rsid w:val="01282E5E"/>
    <w:rsid w:val="01E8501F"/>
    <w:rsid w:val="020B16BB"/>
    <w:rsid w:val="02BF43F5"/>
    <w:rsid w:val="02F06A5D"/>
    <w:rsid w:val="04706539"/>
    <w:rsid w:val="09A35FB9"/>
    <w:rsid w:val="124955B5"/>
    <w:rsid w:val="12CD3243"/>
    <w:rsid w:val="164963BA"/>
    <w:rsid w:val="18A13CFD"/>
    <w:rsid w:val="1A1301D2"/>
    <w:rsid w:val="1C233108"/>
    <w:rsid w:val="1C904541"/>
    <w:rsid w:val="1FDC0243"/>
    <w:rsid w:val="225560C7"/>
    <w:rsid w:val="276936FE"/>
    <w:rsid w:val="29AE18B2"/>
    <w:rsid w:val="2C712E89"/>
    <w:rsid w:val="2D50560D"/>
    <w:rsid w:val="2EB95F25"/>
    <w:rsid w:val="3098633A"/>
    <w:rsid w:val="346E4D1D"/>
    <w:rsid w:val="362A7A5D"/>
    <w:rsid w:val="36755259"/>
    <w:rsid w:val="38151B71"/>
    <w:rsid w:val="39324DCF"/>
    <w:rsid w:val="3AF36035"/>
    <w:rsid w:val="3C4F5FAA"/>
    <w:rsid w:val="3FCC0339"/>
    <w:rsid w:val="41D57CA9"/>
    <w:rsid w:val="41FB5790"/>
    <w:rsid w:val="453B517C"/>
    <w:rsid w:val="464B1274"/>
    <w:rsid w:val="4A05593F"/>
    <w:rsid w:val="4CC90339"/>
    <w:rsid w:val="4CE154D6"/>
    <w:rsid w:val="4FE60E64"/>
    <w:rsid w:val="51B53CE5"/>
    <w:rsid w:val="53910AC9"/>
    <w:rsid w:val="561C2746"/>
    <w:rsid w:val="576833AB"/>
    <w:rsid w:val="5C2E0D6A"/>
    <w:rsid w:val="5C837AF8"/>
    <w:rsid w:val="62245B00"/>
    <w:rsid w:val="62E51FAC"/>
    <w:rsid w:val="657A0997"/>
    <w:rsid w:val="671F45E3"/>
    <w:rsid w:val="674B7567"/>
    <w:rsid w:val="6787066D"/>
    <w:rsid w:val="688F5AF0"/>
    <w:rsid w:val="6AE126AF"/>
    <w:rsid w:val="6C7C5D98"/>
    <w:rsid w:val="6CB7135C"/>
    <w:rsid w:val="6D123F37"/>
    <w:rsid w:val="6DE37AE0"/>
    <w:rsid w:val="6FE93A75"/>
    <w:rsid w:val="72AC43DD"/>
    <w:rsid w:val="757D5C08"/>
    <w:rsid w:val="76E568DC"/>
    <w:rsid w:val="77FE3A49"/>
    <w:rsid w:val="78FD59A3"/>
    <w:rsid w:val="7A41793F"/>
    <w:rsid w:val="7A9A48E0"/>
    <w:rsid w:val="7B012BFA"/>
    <w:rsid w:val="7ECF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93"/>
    <w:pPr>
      <w:widowControl w:val="0"/>
      <w:jc w:val="both"/>
    </w:pPr>
    <w:rPr>
      <w:rFonts w:ascii="Calibri" w:hAnsi="Calibri"/>
    </w:rPr>
  </w:style>
  <w:style w:type="paragraph" w:styleId="1">
    <w:name w:val="heading 1"/>
    <w:basedOn w:val="a"/>
    <w:next w:val="a"/>
    <w:link w:val="1Char"/>
    <w:uiPriority w:val="99"/>
    <w:qFormat/>
    <w:rsid w:val="00EB3E9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EB3E9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Char"/>
    <w:uiPriority w:val="99"/>
    <w:rsid w:val="00EB3E93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EB3E93"/>
    <w:rPr>
      <w:rFonts w:cs="Times New Roman"/>
    </w:rPr>
  </w:style>
  <w:style w:type="paragraph" w:styleId="a4">
    <w:name w:val="Balloon Text"/>
    <w:basedOn w:val="a"/>
    <w:link w:val="Char0"/>
    <w:uiPriority w:val="99"/>
    <w:semiHidden/>
    <w:rsid w:val="00EB3E9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EB3E93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EB3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B3E93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EB3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locked/>
    <w:rsid w:val="00EB3E93"/>
    <w:rPr>
      <w:rFonts w:cs="Times New Roman"/>
      <w:sz w:val="18"/>
      <w:szCs w:val="18"/>
    </w:rPr>
  </w:style>
  <w:style w:type="character" w:styleId="a7">
    <w:name w:val="annotation reference"/>
    <w:basedOn w:val="a0"/>
    <w:uiPriority w:val="99"/>
    <w:semiHidden/>
    <w:rsid w:val="00EB3E93"/>
    <w:rPr>
      <w:rFonts w:cs="Times New Roman"/>
      <w:sz w:val="21"/>
      <w:szCs w:val="21"/>
    </w:rPr>
  </w:style>
  <w:style w:type="table" w:styleId="a8">
    <w:name w:val="Table Grid"/>
    <w:basedOn w:val="a1"/>
    <w:uiPriority w:val="99"/>
    <w:rsid w:val="00EB3E9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B3E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5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3897</Words>
  <Characters>250</Characters>
  <Application>Microsoft Office Word</Application>
  <DocSecurity>0</DocSecurity>
  <Lines>2</Lines>
  <Paragraphs>8</Paragraphs>
  <ScaleCrop>false</ScaleCrop>
  <Company>Microsoft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朱永国</dc:creator>
  <cp:keywords/>
  <dc:description/>
  <cp:lastModifiedBy>朱永国</cp:lastModifiedBy>
  <cp:revision>27</cp:revision>
  <cp:lastPrinted>2019-01-28T07:49:00Z</cp:lastPrinted>
  <dcterms:created xsi:type="dcterms:W3CDTF">2019-01-09T09:05:00Z</dcterms:created>
  <dcterms:modified xsi:type="dcterms:W3CDTF">2019-01-31T01:34:00Z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